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bookmarkStart w:id="0" w:name="_GoBack"/>
      <w:bookmarkEnd w:id="0"/>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64610A">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w:t>
      </w:r>
      <w:r w:rsidR="00477970">
        <w:rPr>
          <w:rFonts w:asciiTheme="minorEastAsia" w:hAnsiTheme="minorEastAsia" w:cs="ＭＳ 明朝" w:hint="eastAsia"/>
          <w:spacing w:val="5"/>
          <w:kern w:val="0"/>
          <w:sz w:val="24"/>
          <w:szCs w:val="24"/>
        </w:rPr>
        <w:t>契約不適合責任</w:t>
      </w:r>
      <w:r w:rsidRPr="006A00DF">
        <w:rPr>
          <w:rFonts w:asciiTheme="minorEastAsia" w:hAnsiTheme="minorEastAsia" w:cs="ＭＳ 明朝" w:hint="eastAsia"/>
          <w:spacing w:val="5"/>
          <w:kern w:val="0"/>
          <w:sz w:val="24"/>
          <w:szCs w:val="24"/>
        </w:rPr>
        <w:t>）</w:t>
      </w:r>
    </w:p>
    <w:p w:rsidR="00FF6EB7" w:rsidRPr="006A00DF" w:rsidRDefault="00FF6EB7" w:rsidP="00477970">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w:t>
      </w:r>
      <w:r w:rsidR="00477970">
        <w:rPr>
          <w:rFonts w:asciiTheme="minorEastAsia" w:hAnsiTheme="minorEastAsia" w:cs="ＭＳ 明朝" w:hint="eastAsia"/>
          <w:spacing w:val="5"/>
          <w:kern w:val="0"/>
          <w:sz w:val="24"/>
          <w:szCs w:val="24"/>
        </w:rPr>
        <w:t>契約不適合</w:t>
      </w:r>
      <w:r w:rsidRPr="006A00DF">
        <w:rPr>
          <w:rFonts w:asciiTheme="minorEastAsia" w:hAnsiTheme="minorEastAsia" w:cs="ＭＳ 明朝" w:hint="eastAsia"/>
          <w:spacing w:val="5"/>
          <w:kern w:val="0"/>
          <w:sz w:val="24"/>
          <w:szCs w:val="24"/>
        </w:rPr>
        <w:t>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55FA"/>
    <w:rsid w:val="00477970"/>
    <w:rsid w:val="00482C63"/>
    <w:rsid w:val="004C3D96"/>
    <w:rsid w:val="004C7F7A"/>
    <w:rsid w:val="004D3B59"/>
    <w:rsid w:val="00505427"/>
    <w:rsid w:val="005948D0"/>
    <w:rsid w:val="005B7B23"/>
    <w:rsid w:val="005C315A"/>
    <w:rsid w:val="005D2BB2"/>
    <w:rsid w:val="005D62E1"/>
    <w:rsid w:val="00612898"/>
    <w:rsid w:val="00623DF0"/>
    <w:rsid w:val="006367BA"/>
    <w:rsid w:val="0064610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8F2F7B"/>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0886E-970C-4C51-82B1-30F7B5E2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1726</Words>
  <Characters>343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岩木 保憲</dc:creator>
  <cp:lastModifiedBy>fukadmin</cp:lastModifiedBy>
  <cp:revision>2</cp:revision>
  <cp:lastPrinted>2022-04-20T11:39:00Z</cp:lastPrinted>
  <dcterms:created xsi:type="dcterms:W3CDTF">2025-04-07T03:05:00Z</dcterms:created>
  <dcterms:modified xsi:type="dcterms:W3CDTF">2025-04-07T03:05:00Z</dcterms:modified>
</cp:coreProperties>
</file>